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7A7D7D3F"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5516AE">
        <w:t>2</w:t>
      </w:r>
      <w:r w:rsidR="003B70F7">
        <w:t>7</w:t>
      </w:r>
      <w:r w:rsidR="005420B4" w:rsidRPr="00893890">
        <w:t>.</w:t>
      </w:r>
      <w:r w:rsidR="005516AE">
        <w:t xml:space="preserve"> </w:t>
      </w:r>
      <w:r w:rsidR="00E151D6">
        <w:t>prosince</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35916B84" w:rsidR="004D79D4" w:rsidRDefault="005516AE"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Pevný výnos: opačný vývoj úrokových sazeb</w:t>
      </w:r>
    </w:p>
    <w:p w14:paraId="61504C6E" w14:textId="50A79D78" w:rsidR="00DA3B92" w:rsidRPr="00755878" w:rsidRDefault="005516AE"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Po překonání cyklu zvyšování úrokových sazeb čelí investoři v oblasti pevného výnosu v roce 2025 zcela nové výzvě. </w:t>
      </w:r>
    </w:p>
    <w:p w14:paraId="6838F1F2" w14:textId="5AC3F233" w:rsidR="00D541BE" w:rsidRPr="00231C56" w:rsidRDefault="00D541BE" w:rsidP="00D541BE">
      <w:pPr>
        <w:rPr>
          <w:b/>
          <w:bCs/>
        </w:rPr>
      </w:pPr>
      <w:r>
        <w:rPr>
          <w:b/>
          <w:bCs/>
        </w:rPr>
        <w:t>Hlavní doporučení pro rok 2025</w:t>
      </w:r>
    </w:p>
    <w:p w14:paraId="1FB1FA84" w14:textId="0B91B3C0" w:rsidR="00C66C40" w:rsidRDefault="005516AE" w:rsidP="00D541BE">
      <w:pPr>
        <w:pStyle w:val="Odstavecseseznamem"/>
        <w:numPr>
          <w:ilvl w:val="0"/>
          <w:numId w:val="45"/>
        </w:numPr>
        <w:spacing w:line="360" w:lineRule="auto"/>
      </w:pPr>
      <w:r>
        <w:t>Defenzivní americký dolarový investiční stupeň: ochrana před riziky recese.</w:t>
      </w:r>
    </w:p>
    <w:p w14:paraId="6CD515EC" w14:textId="2E842761" w:rsidR="00D541BE" w:rsidRDefault="005516AE" w:rsidP="00D541BE">
      <w:pPr>
        <w:pStyle w:val="Odstavecseseznamem"/>
        <w:numPr>
          <w:ilvl w:val="0"/>
          <w:numId w:val="45"/>
        </w:numPr>
        <w:spacing w:line="360" w:lineRule="auto"/>
      </w:pPr>
      <w:r>
        <w:t>Globální krátkodobý příjem: využití solidních celkových výnosů.</w:t>
      </w:r>
    </w:p>
    <w:p w14:paraId="2EB2BE14" w14:textId="79D1DA01" w:rsidR="00D541BE" w:rsidRDefault="005516AE" w:rsidP="00D541BE">
      <w:pPr>
        <w:pStyle w:val="Odstavecseseznamem"/>
        <w:numPr>
          <w:ilvl w:val="0"/>
          <w:numId w:val="45"/>
        </w:numPr>
        <w:spacing w:line="360" w:lineRule="auto"/>
      </w:pPr>
      <w:r>
        <w:t xml:space="preserve">Asijský vysoký výnos: zachycení atraktivního výnosu a zúžení spreadů. </w:t>
      </w:r>
    </w:p>
    <w:p w14:paraId="5F801DCF" w14:textId="0FB12132" w:rsidR="00C66C40" w:rsidRPr="0021712E" w:rsidRDefault="005516AE" w:rsidP="0042767E">
      <w:pPr>
        <w:spacing w:line="360" w:lineRule="auto"/>
      </w:pPr>
      <w:r>
        <w:t xml:space="preserve">Klíčovým tématem na trzích s pevným výnosem v roce 2025 bude to, kde se úrokové sazby USA ustálí na konci tohoto sazbového cyklu. </w:t>
      </w:r>
    </w:p>
    <w:p w14:paraId="6E6D8DAB" w14:textId="720FED7D" w:rsidR="00F10AC6" w:rsidRDefault="005516AE" w:rsidP="0042767E">
      <w:pPr>
        <w:spacing w:line="360" w:lineRule="auto"/>
      </w:pPr>
      <w:r w:rsidRPr="005516AE">
        <w:t>Odhady investorů ohledně hodnoty, na níž se zastaví terminální sazba, dosud kolísaly. Například když Fed v září snížil sazby o 50 bazických bodů na 5 %, což překvapilo mnohé, kteří očekávali pokles pouze o 25 bodů, přičemž tržní odhady terminální sazby paradoxně vzrostly. Logika byla taková, že Fed tím, že dříve učinil větší kroky k řešení rizik růstu, nebude muset v budoucnu snižovat sazby tak výrazně.</w:t>
      </w:r>
    </w:p>
    <w:p w14:paraId="77A2C913" w14:textId="792D76D1" w:rsidR="00F10AC6" w:rsidRDefault="005516AE" w:rsidP="0042767E">
      <w:pPr>
        <w:spacing w:line="360" w:lineRule="auto"/>
      </w:pPr>
      <w:r w:rsidRPr="005516AE">
        <w:t xml:space="preserve">Jak ukazuje graf, trh se tím dostal do rozporu s více holubičím výhledem tvůrců měnové politiky </w:t>
      </w:r>
      <w:proofErr w:type="spellStart"/>
      <w:r w:rsidRPr="005516AE">
        <w:t>Fedu</w:t>
      </w:r>
      <w:proofErr w:type="spellEnd"/>
      <w:r w:rsidRPr="005516AE">
        <w:t xml:space="preserve"> pro sazby na příští dva roky.</w:t>
      </w:r>
    </w:p>
    <w:p w14:paraId="3FAC0477" w14:textId="50612843" w:rsidR="00955BB4" w:rsidRDefault="005516AE" w:rsidP="00955BB4">
      <w:pPr>
        <w:rPr>
          <w:b/>
          <w:bCs/>
        </w:rPr>
      </w:pPr>
      <w:r>
        <w:rPr>
          <w:b/>
          <w:bCs/>
        </w:rPr>
        <w:t xml:space="preserve">Bodový graf </w:t>
      </w:r>
      <w:proofErr w:type="spellStart"/>
      <w:r>
        <w:rPr>
          <w:b/>
          <w:bCs/>
        </w:rPr>
        <w:t>Fedu</w:t>
      </w:r>
      <w:proofErr w:type="spellEnd"/>
      <w:r>
        <w:rPr>
          <w:b/>
          <w:bCs/>
        </w:rPr>
        <w:t xml:space="preserve"> ukazuje politický pesimismus</w:t>
      </w:r>
    </w:p>
    <w:p w14:paraId="27F8CC80" w14:textId="3A527CF7" w:rsidR="005516AE" w:rsidRPr="005516AE" w:rsidRDefault="005516AE" w:rsidP="005516AE">
      <w:pPr>
        <w:pStyle w:val="F2-zkladn"/>
      </w:pPr>
      <w:r w:rsidRPr="005516AE">
        <w:rPr>
          <w:noProof/>
        </w:rPr>
        <w:drawing>
          <wp:anchor distT="0" distB="0" distL="114300" distR="114300" simplePos="0" relativeHeight="251659264" behindDoc="0" locked="0" layoutInCell="1" allowOverlap="1" wp14:anchorId="5DBDEC40" wp14:editId="18718030">
            <wp:simplePos x="0" y="0"/>
            <wp:positionH relativeFrom="column">
              <wp:posOffset>-1270</wp:posOffset>
            </wp:positionH>
            <wp:positionV relativeFrom="paragraph">
              <wp:posOffset>160020</wp:posOffset>
            </wp:positionV>
            <wp:extent cx="5135880" cy="2457450"/>
            <wp:effectExtent l="0" t="0" r="7620" b="0"/>
            <wp:wrapSquare wrapText="bothSides"/>
            <wp:docPr id="444847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4702" name=""/>
                    <pic:cNvPicPr/>
                  </pic:nvPicPr>
                  <pic:blipFill>
                    <a:blip r:embed="rId12">
                      <a:extLst>
                        <a:ext uri="{28A0092B-C50C-407E-A947-70E740481C1C}">
                          <a14:useLocalDpi xmlns:a14="http://schemas.microsoft.com/office/drawing/2010/main" val="0"/>
                        </a:ext>
                      </a:extLst>
                    </a:blip>
                    <a:stretch>
                      <a:fillRect/>
                    </a:stretch>
                  </pic:blipFill>
                  <pic:spPr>
                    <a:xfrm>
                      <a:off x="0" y="0"/>
                      <a:ext cx="5135880" cy="2457450"/>
                    </a:xfrm>
                    <a:prstGeom prst="rect">
                      <a:avLst/>
                    </a:prstGeom>
                  </pic:spPr>
                </pic:pic>
              </a:graphicData>
            </a:graphic>
            <wp14:sizeRelH relativeFrom="margin">
              <wp14:pctWidth>0</wp14:pctWidth>
            </wp14:sizeRelH>
            <wp14:sizeRelV relativeFrom="margin">
              <wp14:pctHeight>0</wp14:pctHeight>
            </wp14:sizeRelV>
          </wp:anchor>
        </w:drawing>
      </w:r>
    </w:p>
    <w:p w14:paraId="244A4AE7" w14:textId="77777777" w:rsidR="00425C4D" w:rsidRDefault="00425C4D" w:rsidP="00F10AC6"/>
    <w:p w14:paraId="1036E51F" w14:textId="77777777" w:rsidR="00425C4D" w:rsidRDefault="00425C4D" w:rsidP="00F10AC6"/>
    <w:p w14:paraId="23A20773" w14:textId="77777777" w:rsidR="00425C4D" w:rsidRDefault="00425C4D" w:rsidP="00F10AC6"/>
    <w:p w14:paraId="3DACA96B" w14:textId="77777777" w:rsidR="00425C4D" w:rsidRDefault="00425C4D" w:rsidP="00F10AC6"/>
    <w:p w14:paraId="3820BE77" w14:textId="77777777" w:rsidR="00425C4D" w:rsidRDefault="00425C4D" w:rsidP="00F10AC6"/>
    <w:p w14:paraId="0307C6C4" w14:textId="77777777" w:rsidR="00425C4D" w:rsidRDefault="00425C4D" w:rsidP="00F10AC6"/>
    <w:p w14:paraId="11FC1286" w14:textId="77777777" w:rsidR="00425C4D" w:rsidRDefault="00425C4D" w:rsidP="00F10AC6"/>
    <w:p w14:paraId="3116BB6E" w14:textId="3873BE01" w:rsidR="00F10AC6" w:rsidRDefault="00425C4D" w:rsidP="00A47A56">
      <w:pPr>
        <w:spacing w:line="360" w:lineRule="auto"/>
      </w:pPr>
      <w:r w:rsidRPr="00425C4D">
        <w:t>Jakékoli nové celní tarify pravděpodobně zvýší inflaci, což by mohlo vést k tomu, že se terminální sazba ustálí výše, než trh v době psaní tohoto textu předpokládá (kolem 3,5 %). Tento výhled podporuje také očekávaný nárůst fiskálního deficitu USA v příštím roce.</w:t>
      </w:r>
      <w:r>
        <w:t xml:space="preserve"> </w:t>
      </w:r>
    </w:p>
    <w:p w14:paraId="64D70BDB" w14:textId="6702B7D0" w:rsidR="00425C4D" w:rsidRPr="00425C4D" w:rsidRDefault="00425C4D" w:rsidP="00425C4D">
      <w:pPr>
        <w:pStyle w:val="F2-zkladn"/>
      </w:pPr>
      <w:r w:rsidRPr="00425C4D">
        <w:t>Ve hře jsou však i další faktory.</w:t>
      </w:r>
    </w:p>
    <w:p w14:paraId="6EC46AB7" w14:textId="33E50C0A" w:rsidR="00F10AC6" w:rsidRPr="00B36EA3" w:rsidRDefault="00425C4D" w:rsidP="00F10AC6">
      <w:pPr>
        <w:rPr>
          <w:b/>
          <w:bCs/>
        </w:rPr>
      </w:pPr>
      <w:r>
        <w:rPr>
          <w:b/>
          <w:bCs/>
        </w:rPr>
        <w:t>Riziko recese v USA je „podceněno“</w:t>
      </w:r>
    </w:p>
    <w:p w14:paraId="08AB0916" w14:textId="0BFEAC3B" w:rsidR="00F10AC6" w:rsidRPr="00B36EA3" w:rsidRDefault="00425C4D" w:rsidP="00425C4D">
      <w:pPr>
        <w:spacing w:line="360" w:lineRule="auto"/>
      </w:pPr>
      <w:r w:rsidRPr="00425C4D">
        <w:t>Investoři hledající hodnotu na trzích s pevným výnosem by si měli uvědomit, že trh má potíže s oceněním faktorů, jako jsou geopolitická rizika, která mohou zřetelně ohrozit ekonomický růst.</w:t>
      </w:r>
      <w:r>
        <w:t xml:space="preserve"> </w:t>
      </w:r>
    </w:p>
    <w:p w14:paraId="70D0D61F" w14:textId="77777777" w:rsidR="00425C4D" w:rsidRDefault="00425C4D" w:rsidP="00425C4D">
      <w:pPr>
        <w:spacing w:line="360" w:lineRule="auto"/>
      </w:pPr>
      <w:r w:rsidRPr="00425C4D">
        <w:t>Nedávný cyklus zvyšování sazeb byl navíc pro emitenty dluhopisů nezvykle příznivý. Čisté úrokové náklady společností ve skutečnosti klesly u těch, které si u svého dluhu zajistily nižší sazby, když byly výnosy na víceletých minimech. Tyto společnosti navíc profitovaly z uložení hotovosti na krátkodobých depozitech nebo peněžních trzích, kde získávaly vysoké úrokové sazby. Když emitenti pocítili tlak, většinu selhání (54 % do konce září1) tvořily restrukturalizace dluhu, což zmírnilo dopad na investory. Nicméně v určitém bodě budou emitenti, kteří si zajistili nižší sazby, nuceni refinancovat, což bude v průběhu roku 2025 čím dál více ovlivňovat rozhodování investorů i tvůrců politik.</w:t>
      </w:r>
    </w:p>
    <w:p w14:paraId="7B90EC12" w14:textId="637ADEBA" w:rsidR="00425C4D" w:rsidRDefault="00425C4D" w:rsidP="00425C4D">
      <w:pPr>
        <w:pStyle w:val="F2-zkladn"/>
        <w:spacing w:line="360" w:lineRule="auto"/>
      </w:pPr>
      <w:r w:rsidRPr="00425C4D">
        <w:t xml:space="preserve">V USA také právě proběhly volby, ve kterých 68 % voličů v exit </w:t>
      </w:r>
      <w:proofErr w:type="spellStart"/>
      <w:r w:rsidRPr="00425C4D">
        <w:t>pollech</w:t>
      </w:r>
      <w:proofErr w:type="spellEnd"/>
      <w:r w:rsidRPr="00425C4D">
        <w:t xml:space="preserve"> uvedlo, že ekonomika je „nepříliš dobrá / špatná“.</w:t>
      </w:r>
      <w:r>
        <w:t xml:space="preserve"> </w:t>
      </w:r>
      <w:r w:rsidRPr="00425C4D">
        <w:t>Bez ohledu na ekonomické ukazatele tak Američanům podle všeho nepřipadá, že na tom jsou ekonomicky dobře.</w:t>
      </w:r>
    </w:p>
    <w:p w14:paraId="7C6D9AC1" w14:textId="1317431F" w:rsidR="00425C4D" w:rsidRPr="00425C4D" w:rsidRDefault="00425C4D" w:rsidP="00425C4D">
      <w:pPr>
        <w:pStyle w:val="F2-zkladn"/>
        <w:spacing w:line="360" w:lineRule="auto"/>
      </w:pPr>
      <w:r w:rsidRPr="00425C4D">
        <w:t>Pokud se růst USA během příštích 12 měsíců zhorší, Fed by mohl být nucen snížit sazby agresivněji, než se očekává, což by vedlo k nižší terminální úrokové sazbě. Vzhledem k současným těsným kreditním spreadům existuje logika pro přidání americké durace do portfolia, s důrazem na kvalitnější kredit.</w:t>
      </w:r>
    </w:p>
    <w:p w14:paraId="32DEF5D4" w14:textId="2436CB95" w:rsidR="00F10AC6" w:rsidRPr="00B36EA3" w:rsidRDefault="00425C4D" w:rsidP="00F10AC6">
      <w:pPr>
        <w:rPr>
          <w:b/>
          <w:bCs/>
        </w:rPr>
      </w:pPr>
      <w:r>
        <w:rPr>
          <w:b/>
          <w:bCs/>
        </w:rPr>
        <w:t>Čína: čekání na další kroky</w:t>
      </w:r>
    </w:p>
    <w:p w14:paraId="48310C7C" w14:textId="77777777" w:rsidR="00425C4D" w:rsidRDefault="00425C4D" w:rsidP="00425C4D">
      <w:pPr>
        <w:spacing w:line="360" w:lineRule="auto"/>
      </w:pPr>
      <w:r w:rsidRPr="00425C4D">
        <w:t>Velká pozornost se v roce 2025 soustředí na načasování a rozsah čínských stimulačních opatření a jejich potenciál podpořit růst na domácím trhu i v širším regionu, ale také možnost vyvolat inflační tlaky. Zatímco čekáme na další kroky Pekingu a případnou reakci na americká cla (pokud k nim dojde), stojí za to zvážit situaci, které budou čelit investoři do dluhopisů v roce 2025. Zde je několik příkladů:</w:t>
      </w:r>
    </w:p>
    <w:p w14:paraId="5E824E60" w14:textId="77777777" w:rsidR="00425C4D" w:rsidRPr="00425C4D" w:rsidRDefault="00425C4D" w:rsidP="00425C4D">
      <w:pPr>
        <w:numPr>
          <w:ilvl w:val="0"/>
          <w:numId w:val="46"/>
        </w:numPr>
      </w:pPr>
      <w:r w:rsidRPr="00425C4D">
        <w:t xml:space="preserve">Sektor nemovitostí v Číně nyní tvoří pouze přibližně 5 % indexu JP Morgan </w:t>
      </w:r>
      <w:proofErr w:type="spellStart"/>
      <w:r w:rsidRPr="00425C4D">
        <w:t>Asia</w:t>
      </w:r>
      <w:proofErr w:type="spellEnd"/>
      <w:r w:rsidRPr="00425C4D">
        <w:t xml:space="preserve"> </w:t>
      </w:r>
      <w:proofErr w:type="spellStart"/>
      <w:r w:rsidRPr="00425C4D">
        <w:t>Credit</w:t>
      </w:r>
      <w:proofErr w:type="spellEnd"/>
      <w:r w:rsidRPr="00425C4D">
        <w:t xml:space="preserve"> Non-</w:t>
      </w:r>
      <w:proofErr w:type="spellStart"/>
      <w:r w:rsidRPr="00425C4D">
        <w:t>Investment</w:t>
      </w:r>
      <w:proofErr w:type="spellEnd"/>
      <w:r w:rsidRPr="00425C4D">
        <w:t xml:space="preserve"> Grade, což je pokles z více než 30 % na vrcholu. Index je nyní silnější a vyváženější.</w:t>
      </w:r>
    </w:p>
    <w:p w14:paraId="4805A599" w14:textId="77777777" w:rsidR="00425C4D" w:rsidRPr="00425C4D" w:rsidRDefault="00425C4D" w:rsidP="00425C4D">
      <w:pPr>
        <w:numPr>
          <w:ilvl w:val="0"/>
          <w:numId w:val="46"/>
        </w:numPr>
      </w:pPr>
      <w:r w:rsidRPr="00425C4D">
        <w:t>Průměrný rating asijských dluhopisů s vysokým výnosem je nyní BB, přičemž se očekává, že rating se bude dále zlepšovat, zejména u tzv. hraničních asijských ekonomik a kategorie BB, kde se objevují „vycházející hvězdy“.</w:t>
      </w:r>
    </w:p>
    <w:p w14:paraId="1BAEA791" w14:textId="77777777" w:rsidR="00425C4D" w:rsidRPr="00425C4D" w:rsidRDefault="00425C4D" w:rsidP="00425C4D">
      <w:pPr>
        <w:numPr>
          <w:ilvl w:val="0"/>
          <w:numId w:val="46"/>
        </w:numPr>
      </w:pPr>
      <w:r w:rsidRPr="00425C4D">
        <w:lastRenderedPageBreak/>
        <w:t>Atraktivní jsou nyní spready asijských dluhopisů s vysokým výnosem – dosáhly úrovně přes 500 bazických bodů (nad 20letým průměrem), což ponechává prostor pro jejich zúžení. S průměrnou durací pouhé dva roky jsou tyto dluhopisy méně citlivé na pohyby úrokových sazeb.</w:t>
      </w:r>
    </w:p>
    <w:p w14:paraId="3AACFD5A" w14:textId="77777777" w:rsidR="00425C4D" w:rsidRDefault="00425C4D" w:rsidP="00425C4D">
      <w:pPr>
        <w:spacing w:line="360" w:lineRule="auto"/>
      </w:pPr>
      <w:r w:rsidRPr="00425C4D">
        <w:t xml:space="preserve">Tyto faktory vytvářejí pro asijské dluhopisy s vysokým výnosem příznivé prostředí, zejména pokud bude pokračovat uvolňování měnové politiky </w:t>
      </w:r>
      <w:proofErr w:type="spellStart"/>
      <w:r w:rsidRPr="00425C4D">
        <w:t>Fedu</w:t>
      </w:r>
      <w:proofErr w:type="spellEnd"/>
      <w:r w:rsidRPr="00425C4D">
        <w:t xml:space="preserve"> spolu s dalším stimulačním úsilím a monetární podporou ze strany Číny.</w:t>
      </w:r>
    </w:p>
    <w:p w14:paraId="1949B84A" w14:textId="401AEA4E" w:rsidR="006F508D" w:rsidRDefault="00425C4D" w:rsidP="00425C4D">
      <w:pPr>
        <w:spacing w:line="360" w:lineRule="auto"/>
        <w:rPr>
          <w:rStyle w:val="ui-provider"/>
        </w:rPr>
      </w:pPr>
      <w:r w:rsidRPr="00425C4D">
        <w:t>Dobře si vedou i asijské dluhopisy investičního stupně. Nabídka asijských dluhopisů investičního stupně denominovaných v amerických dolarech se výrazně zmenšila, protože emitenti se zdráhají půjčovat si v dolarech kvůli vysokým úrokovým sazbám ve srovnání s lokálními trhy, zatímco poptávka investorů zůstává vysoká. Očekávání silnějšího dolaru v roce 2025 pravděpodobně tento trend nezvrátí.</w:t>
      </w:r>
    </w:p>
    <w:p w14:paraId="511F7D68" w14:textId="15393AF9" w:rsidR="00425C4D" w:rsidRPr="00B36EA3" w:rsidRDefault="00425C4D" w:rsidP="00425C4D">
      <w:pPr>
        <w:rPr>
          <w:b/>
          <w:bCs/>
        </w:rPr>
      </w:pPr>
      <w:r>
        <w:rPr>
          <w:b/>
          <w:bCs/>
        </w:rPr>
        <w:t>Výhled měnové politiky</w:t>
      </w:r>
    </w:p>
    <w:p w14:paraId="240925D2" w14:textId="77777777" w:rsidR="00425C4D" w:rsidRDefault="00425C4D" w:rsidP="00425C4D">
      <w:pPr>
        <w:pStyle w:val="F2-zkladn"/>
        <w:spacing w:line="360" w:lineRule="auto"/>
      </w:pPr>
      <w:r w:rsidRPr="00425C4D">
        <w:t>Během příštích 12 měsíců bychom měli být svědky výrazného nárůstu fiskálních výdajů USA a Číny. Trhy sice tento výhled přivítaly s euforií, jde však o signál, že situace ohledně základního růstu není ideální – a navíc ji ohrožuje rostoucí geopolitické napětí. Z těchto důvodů bude Fed pravděpodobně nejaktivnější v přibližování sazeb k neutrální hodnotě. To bylo patrné, když po výrazném zářijovém snížení následovalo v listopadu další snížení o 25 bazických bodů, omezením však ještě může být oživení inflace. V USA existuje velká pravděpodobnost stagflace a v takovém případě by Fed mohl upřednostnit růst. Evropská centrální banka mezitím sleduje přetrvávající inflační tlaky v oblasti mezd a služeb, ovšem strukturální ekonomické slabiny v eurozóně, zejména v Německu, naznačují, že se zde vyplatí větší expozice vůči delší duraci.</w:t>
      </w:r>
    </w:p>
    <w:p w14:paraId="7AFE9F76" w14:textId="77777777" w:rsidR="00425C4D" w:rsidRDefault="00425C4D" w:rsidP="00425C4D">
      <w:pPr>
        <w:pStyle w:val="F2-zkladn"/>
        <w:spacing w:line="360" w:lineRule="auto"/>
      </w:pPr>
      <w:r w:rsidRPr="00425C4D">
        <w:t xml:space="preserve">Další snižování sazeb ze strany </w:t>
      </w:r>
      <w:proofErr w:type="spellStart"/>
      <w:r w:rsidRPr="00425C4D">
        <w:t>Fedu</w:t>
      </w:r>
      <w:proofErr w:type="spellEnd"/>
      <w:r w:rsidRPr="00425C4D">
        <w:t xml:space="preserve"> by mohlo dát například centrálním bankám v Číně, Koreji a Indonésii větší prostor pro jejich vlastní snižování sazeb, což by podpořilo asijské dluhopisy. Naopak méně holubičí politika </w:t>
      </w:r>
      <w:proofErr w:type="spellStart"/>
      <w:r w:rsidRPr="00425C4D">
        <w:t>Fedu</w:t>
      </w:r>
      <w:proofErr w:type="spellEnd"/>
      <w:r w:rsidRPr="00425C4D">
        <w:t xml:space="preserve"> by mohla umožnit japonské centrální bance větší manévrovací prostor pro normalizaci její politiky po jejím prvním zvýšení sazeb po 17 letech v březnu 2024.</w:t>
      </w:r>
    </w:p>
    <w:p w14:paraId="554BC9EB" w14:textId="77777777" w:rsidR="00425C4D" w:rsidRDefault="00425C4D" w:rsidP="00425C4D">
      <w:pPr>
        <w:pStyle w:val="F2-zkladn"/>
        <w:spacing w:line="360" w:lineRule="auto"/>
      </w:pPr>
      <w:r w:rsidRPr="00425C4D">
        <w:t>V praxi si však centrální banky budou muset postupovat vlastním tempem. Sledovat jejich rozdílné politiky bude v roce 2025 pro investory v oblasti pevného příjmu jednou z klíčových výzev.</w:t>
      </w:r>
    </w:p>
    <w:p w14:paraId="6291FD06" w14:textId="578E1682" w:rsidR="00F10AC6" w:rsidRPr="00F10AC6" w:rsidRDefault="00F10AC6" w:rsidP="00425C4D">
      <w:pPr>
        <w:pStyle w:val="F2-zkladn"/>
        <w:spacing w:line="360" w:lineRule="auto"/>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542D82D6" w14:textId="77777777" w:rsidR="00425C4D" w:rsidRDefault="00425C4D" w:rsidP="002027ED">
      <w:pPr>
        <w:shd w:val="clear" w:color="auto" w:fill="FFFFFF"/>
        <w:spacing w:before="0" w:line="360" w:lineRule="atLeast"/>
        <w:rPr>
          <w:b/>
          <w:bCs/>
        </w:rPr>
      </w:pPr>
    </w:p>
    <w:p w14:paraId="528793B9" w14:textId="77777777" w:rsidR="00425C4D" w:rsidRDefault="00425C4D" w:rsidP="002027ED">
      <w:pPr>
        <w:shd w:val="clear" w:color="auto" w:fill="FFFFFF"/>
        <w:spacing w:before="0" w:line="360" w:lineRule="atLeast"/>
        <w:rPr>
          <w:b/>
          <w:bCs/>
        </w:rPr>
      </w:pPr>
    </w:p>
    <w:p w14:paraId="163D8DC9" w14:textId="71011B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w:t>
      </w:r>
      <w:r>
        <w:lastRenderedPageBreak/>
        <w:t xml:space="preserve">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743D762F" w:rsidR="00D20058" w:rsidRDefault="00425C4D" w:rsidP="00425C4D">
      <w:pPr>
        <w:pStyle w:val="F2-zkladn"/>
      </w:pPr>
      <w:r w:rsidRPr="00425C4D">
        <w:t>MKAT12659</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E7944" w14:textId="77777777" w:rsidR="00EA5C36" w:rsidRDefault="00EA5C36">
      <w:r>
        <w:separator/>
      </w:r>
    </w:p>
  </w:endnote>
  <w:endnote w:type="continuationSeparator" w:id="0">
    <w:p w14:paraId="189CAEAD" w14:textId="77777777" w:rsidR="00EA5C36" w:rsidRDefault="00EA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B96EE" w14:textId="77777777" w:rsidR="00EA5C36" w:rsidRDefault="00EA5C36">
      <w:r>
        <w:separator/>
      </w:r>
    </w:p>
  </w:footnote>
  <w:footnote w:type="continuationSeparator" w:id="0">
    <w:p w14:paraId="01E4B228" w14:textId="77777777" w:rsidR="00EA5C36" w:rsidRDefault="00EA5C36">
      <w:r>
        <w:continuationSeparator/>
      </w:r>
    </w:p>
  </w:footnote>
  <w:footnote w:type="continuationNotice" w:id="1">
    <w:p w14:paraId="59C1C473" w14:textId="77777777" w:rsidR="00EA5C36" w:rsidRDefault="00EA5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CA0831"/>
    <w:multiLevelType w:val="multilevel"/>
    <w:tmpl w:val="C46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3"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5"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4"/>
  </w:num>
  <w:num w:numId="3" w16cid:durableId="1266381172">
    <w:abstractNumId w:val="41"/>
  </w:num>
  <w:num w:numId="4" w16cid:durableId="1719279861">
    <w:abstractNumId w:val="23"/>
  </w:num>
  <w:num w:numId="5" w16cid:durableId="118620334">
    <w:abstractNumId w:val="25"/>
  </w:num>
  <w:num w:numId="6" w16cid:durableId="1824814676">
    <w:abstractNumId w:val="21"/>
  </w:num>
  <w:num w:numId="7" w16cid:durableId="1926299718">
    <w:abstractNumId w:val="39"/>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2"/>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8"/>
  </w:num>
  <w:num w:numId="27" w16cid:durableId="1412049229">
    <w:abstractNumId w:val="31"/>
  </w:num>
  <w:num w:numId="28" w16cid:durableId="1854563770">
    <w:abstractNumId w:val="20"/>
  </w:num>
  <w:num w:numId="29" w16cid:durableId="1511022718">
    <w:abstractNumId w:val="22"/>
  </w:num>
  <w:num w:numId="30" w16cid:durableId="189878341">
    <w:abstractNumId w:val="24"/>
  </w:num>
  <w:num w:numId="31" w16cid:durableId="408891146">
    <w:abstractNumId w:val="33"/>
  </w:num>
  <w:num w:numId="32" w16cid:durableId="668292118">
    <w:abstractNumId w:val="42"/>
  </w:num>
  <w:num w:numId="33" w16cid:durableId="1545678938">
    <w:abstractNumId w:val="30"/>
  </w:num>
  <w:num w:numId="34" w16cid:durableId="334190881">
    <w:abstractNumId w:val="40"/>
  </w:num>
  <w:num w:numId="35" w16cid:durableId="867832294">
    <w:abstractNumId w:val="44"/>
  </w:num>
  <w:num w:numId="36" w16cid:durableId="1707019958">
    <w:abstractNumId w:val="14"/>
  </w:num>
  <w:num w:numId="37" w16cid:durableId="1229464119">
    <w:abstractNumId w:val="37"/>
  </w:num>
  <w:num w:numId="38" w16cid:durableId="1404453976">
    <w:abstractNumId w:val="16"/>
  </w:num>
  <w:num w:numId="39" w16cid:durableId="639572714">
    <w:abstractNumId w:val="28"/>
  </w:num>
  <w:num w:numId="40" w16cid:durableId="1181239656">
    <w:abstractNumId w:val="35"/>
  </w:num>
  <w:num w:numId="41" w16cid:durableId="1776094729">
    <w:abstractNumId w:val="43"/>
  </w:num>
  <w:num w:numId="42" w16cid:durableId="58788658">
    <w:abstractNumId w:val="26"/>
  </w:num>
  <w:num w:numId="43" w16cid:durableId="1389382411">
    <w:abstractNumId w:val="36"/>
  </w:num>
  <w:num w:numId="44" w16cid:durableId="608975387">
    <w:abstractNumId w:val="18"/>
  </w:num>
  <w:num w:numId="45" w16cid:durableId="77678656">
    <w:abstractNumId w:val="45"/>
  </w:num>
  <w:num w:numId="46" w16cid:durableId="189696248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2A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B70F7"/>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5C4D"/>
    <w:rsid w:val="0042767E"/>
    <w:rsid w:val="00427801"/>
    <w:rsid w:val="004278C3"/>
    <w:rsid w:val="0043115E"/>
    <w:rsid w:val="00431E52"/>
    <w:rsid w:val="00432B54"/>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6AE"/>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1A9C"/>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08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36D2"/>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A56"/>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5C36"/>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79584949">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8524483">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63088084">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08607088">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1623</Words>
  <Characters>9582</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11183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2024-12-23T08:22:00Z</dcterms:created>
  <dcterms:modified xsi:type="dcterms:W3CDTF">2024-12-27T08:25:00Z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